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5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онлайн-курса НИЯУ МИФИ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Обеспечение ядерной 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радиационной  безопасности</w:t>
      </w:r>
      <w:r/>
    </w:p>
    <w:p>
      <w:pPr>
        <w:pStyle w:val="69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на объектах ядерного топливного цикла</w:t>
      </w:r>
      <w:r>
        <w:rPr>
          <w:rFonts w:cs="Times New Roman"/>
          <w:sz w:val="24"/>
          <w:szCs w:val="24"/>
        </w:rPr>
        <w:t xml:space="preserve">»</w:t>
      </w:r>
      <w:r/>
    </w:p>
    <w:p>
      <w:pPr>
        <w:pStyle w:val="696"/>
        <w:jc w:val="center"/>
      </w:pPr>
      <w:r/>
      <w:r/>
    </w:p>
    <w:p>
      <w:pPr>
        <w:pStyle w:val="696"/>
        <w:jc w:val="right"/>
      </w:pPr>
      <w:r>
        <w:t xml:space="preserve">У</w:t>
      </w:r>
      <w:r>
        <w:t xml:space="preserve">тверждено Методическим советом по развитию онлайн-образования,</w:t>
      </w:r>
      <w:r>
        <w:br/>
        <w:t xml:space="preserve">протокол заседания №________ от «___» __________ 20___ г.</w:t>
      </w:r>
      <w:r/>
    </w:p>
    <w:p>
      <w:pPr>
        <w:pStyle w:val="696"/>
        <w:ind w:left="1069" w:firstLine="0"/>
      </w:pPr>
      <w:r/>
      <w:r/>
    </w:p>
    <w:p>
      <w:pPr>
        <w:pStyle w:val="704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СВЕДЕНИЯ</w:t>
      </w:r>
      <w:r/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3256"/>
        <w:gridCol w:w="4536"/>
        <w:gridCol w:w="6768"/>
      </w:tblGrid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Пункт паспорта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платформы «Открытое образование»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пункта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Название курса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ind w:right="-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ядерной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радиационной  безопасности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на объектах ядерного топливного цикла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Общая трудоемкость курса в зачетных единицах, количество недель обучения, средняя нагрузка в неделю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Общая трудоемкость курса должна составлять от 2 до 6 зачетных единиц. Продолжительность курса может составлять от 10 до 16 недель включительно.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Недельная учебная нагрузка обучающегося по курсу не должна превышать 22 часа, применяемые методы обучения и структура курса должны быть оптимизированы с целью сокращения нагрузки студента при условии достижения результатов обучения.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Общая трудоемкость курса –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зачетных единиц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Продолжительность курса – 1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 xml:space="preserve"> недель обучения.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Средняя нагрузка в неделю –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.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Название университета-разработчика</w:t>
            </w:r>
            <w:r>
              <w:rPr>
                <w:sz w:val="24"/>
              </w:rPr>
              <w:t xml:space="preserve"> (полное)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Название университета-разработчика</w:t>
            </w:r>
            <w:r>
              <w:rPr>
                <w:sz w:val="24"/>
              </w:rPr>
              <w:t xml:space="preserve"> (сокращенное)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НИЯУ МИФИ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Авторы курса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Для каждого автора необходимо указать: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1) фамилию, имя, отчество;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2) место работы;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3) должность;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4) ученую степень;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5) ученое звание.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 каждого автора должна быть подготовлена фотография с соотношением сторон 1:1 (минимальные размеры 600х600, изображение человека должно занимать на фотографии более 60% общей площади, фон должен быть одноцветный, светлый).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 каждого автора может быть подготовлена вторая фотография размером 400х300 с соотношением сторон 4:3 (аватар с произвольным фоном).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87143" cy="2311400"/>
                      <wp:effectExtent l="0" t="0" r="8890" b="0"/>
                      <wp:docPr id="1" name="Рисунок 5" descr="C:\Users\student\Desktop\Образовательный курс Обеспечение ЯиРБ на ОЯТЦ\вывод из эксплуатации\Курс Вывод из эксплуатации\Фото Левицкий В.М.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student\Desktop\Образовательный курс Обеспечение ЯиРБ на ОЯТЦ\вывод из эксплуатации\Курс Вывод из эксплуатации\Фото Левицкий В.М.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05690" cy="2328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5.8pt;height:182.0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Левицкий Вячеслав Михайлович</w:t>
            </w:r>
            <w:r>
              <w:rPr>
                <w:sz w:val="24"/>
              </w:rPr>
              <w:t xml:space="preserve"> 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СТИ НИЯУ МИФИ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 –</w:t>
            </w:r>
            <w:r>
              <w:rPr>
                <w:sz w:val="24"/>
              </w:rPr>
              <w:t xml:space="preserve"> преподаватель </w:t>
            </w:r>
            <w:r>
              <w:rPr>
                <w:sz w:val="24"/>
              </w:rPr>
              <w:t xml:space="preserve">ФПКиПК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</w:t>
            </w:r>
            <w:r>
              <w:rPr>
                <w:sz w:val="24"/>
              </w:rPr>
              <w:t xml:space="preserve"> нет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0315" cy="2433971"/>
                      <wp:effectExtent l="0" t="0" r="0" b="4445"/>
                      <wp:docPr id="2" name="Рисунок 2" descr="C:\Users\student\Downloads\IMG-20221012-WA00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student\Downloads\IMG-20221012-WA001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35055" cy="2448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98.4pt;height:191.7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Грязнов Роман Васильевич</w:t>
            </w:r>
            <w:r>
              <w:rPr>
                <w:sz w:val="24"/>
              </w:rPr>
              <w:t xml:space="preserve"> 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АО «Сибирский химический комбинат»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 –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t xml:space="preserve">начальник технологической службы ОДЭК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 xml:space="preserve">кандидат технических н</w:t>
            </w:r>
            <w:r>
              <w:rPr>
                <w:sz w:val="24"/>
              </w:rPr>
              <w:t xml:space="preserve">аук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5969" cy="2334886"/>
                      <wp:effectExtent l="0" t="0" r="3175" b="8890"/>
                      <wp:docPr id="3" name="Рисунок 4" descr="C:\Users\student\Downloads\IMG-20221012-WA00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student\Downloads\IMG-20221012-WA001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45026" cy="2351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6.8pt;height:183.8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Андреевских Алексей Владимирович</w:t>
            </w:r>
            <w:r>
              <w:rPr>
                <w:sz w:val="24"/>
              </w:rPr>
              <w:t xml:space="preserve"> 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МКУ ЕДДС ЗАТО Северск курсы ГО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курсов ГО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 xml:space="preserve">нет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5725" cy="2375182"/>
                      <wp:effectExtent l="0" t="0" r="3175" b="6350"/>
                      <wp:docPr id="4" name="Рисунок 1" descr="C:\Users\student\Downloads\IMG-20221012-WA00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tudent\Downloads\IMG-20221012-WA001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0822" cy="2406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06.8pt;height:187.0pt;mso-wrap-distance-left:0.0pt;mso-wrap-distance-top:0.0pt;mso-wrap-distance-right:0.0pt;mso-wrap-distance-bottom:0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Часов Алексей Сергеевич</w:t>
            </w:r>
            <w:r>
              <w:rPr>
                <w:sz w:val="24"/>
              </w:rPr>
              <w:t xml:space="preserve"> 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Северский отдел инспекций ЯРБ на ПТЦ и ЗАТО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Должность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старший государственный инспектор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 xml:space="preserve">нет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12612" cy="2233246"/>
                      <wp:effectExtent l="0" t="0" r="2540" b="0"/>
                      <wp:docPr id="5" name="Рисунок 6" descr="C:\Users\student\Downloads\IMG-20221015-WA00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tudent\Downloads\IMG-20221015-WA000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31418" cy="2249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97.8pt;height:175.8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Лялин Андрей Владимирович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АО «Сибирский химический комбинат»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 – инженер по дозиметрическому контролю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</w:t>
            </w:r>
            <w:r>
              <w:rPr>
                <w:sz w:val="24"/>
              </w:rPr>
              <w:t xml:space="preserve"> нет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97015" cy="2602758"/>
                      <wp:effectExtent l="0" t="0" r="0" b="7620"/>
                      <wp:docPr id="6" name="Рисунок 3" descr="C:\Users\student\Downloads\IMG-20221012-WA00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student\Downloads\IMG-20221012-WA001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12972" cy="261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96.6pt;height:204.9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Федин Андрей Сергеевич</w:t>
            </w:r>
            <w:r>
              <w:rPr>
                <w:sz w:val="24"/>
              </w:rPr>
              <w:t xml:space="preserve"> 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 –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СФ АО «АТЦ Росатома»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Должность –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t xml:space="preserve">старший инженер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 – </w:t>
            </w:r>
            <w:r>
              <w:rPr>
                <w:sz w:val="24"/>
              </w:rPr>
              <w:t xml:space="preserve">нет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 курсе (краткая аннотация курса)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курса является обеспечение ядерной и радиационной безопасности на объектах ядерно-топливного цикла, создание и поддержание условий, направленных на предотвращение возникновения ядерных и радиационных аварий.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даются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обеспечения ядерной и радиационной безопасности на объектах ядерно-топливного цикла: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законодательство РФ в области использования атомной энергии, государственное регулирование безопасности в области использования атомной энергии, нормативно-правовые акты. Рассмотрены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принципы обеспечения ядерной и радиационной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показатели, используемые при оценке ядерной и радиационной безопасности; нормирование радиационных воздействий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работ при возникновении чрезвычайных ситуаций на радиационно-опасных и ядерно-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опасных производственных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и населения в случае возникновения аварий на предприятиях ядерного топливного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радиационного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Arial" w:hAnsi="Arial" w:cs="Arial" w:eastAsiaTheme="minorEastAsia"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требования к организации и функционированию системы государственного учета и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радиоактивных веществ и радиоактивных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системы физической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ядерных материалов, ядерных установок, пунктов 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радиоактивных веществ и радиоактивных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требования пожарной безопасности на объекте использования атомной энергии.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Входные требования к слушателям курса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базовыми знаниями по </w:t>
            </w:r>
            <w:r>
              <w:rPr>
                <w:sz w:val="24"/>
              </w:rPr>
              <w:t xml:space="preserve">физике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  математике</w:t>
            </w:r>
            <w:r>
              <w:rPr>
                <w:sz w:val="24"/>
              </w:rPr>
              <w:t xml:space="preserve">, химии, дозиметрии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Рекомендуемая литература и другие информационные ресурсы по курсу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Федеральный закон № 170-ФЗ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21.11.1995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использовании атомной энергии».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3-ФЗ от 9.01.1996 «О радиационной безопасности населения».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закон № 7-ФЗ от 10.01.2002 «Об охране окружающей среды».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Федеральный закон № 52-ФЗ от 30.03.1999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санитарно-эпидемиологическом благополучии населения».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Федеральный закон от 21.12.1994 г. № 68-ФЗ «О защите населения и территорий от чрезвычайных ситуаций природного и техногенного характера».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санитарные правила обеспечения радиационной безопасности СП 2.6.1.2612-10 (ОСПОРБ-99/2010).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радиационной безопасности СанПиН 2.6.1.2523-09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(НРБ-99/2009).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Общие положения обеспечения безопасности объектов ядерного топливного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НП-016-05.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ядерной безопасности для объектов ядерного топливного цикла НП-063-05.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правила учета и контроля ядерных материалов НП-030-19.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правила учета и контроля радиоактивных веществ и радиоактивных отходов в организации НП-067-16.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системам физической защиты ядерных материалов, ядерных установок и пунктов хранения ядерных материалов НП-083-15.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физической защиты радиоактивных веществ, радиационных источников и пунктов хранения НП-034-15.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Общие положения обеспечения безопасности радиационных источников НП-038-16.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порядке расследования и учета нарушений в работе объектов ядерного топливного цикла» (НП-047-11).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29074-91 «Аппаратура контроля радиационной обстановки. Общие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8.638-2013 «Государственная система обеспечения единства измерений. Метрологическое обеспечение радиационного контроля».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27451-87 «Средства измерений ионизирующих излучений».</w:t>
            </w:r>
            <w:r/>
          </w:p>
          <w:p>
            <w:pPr>
              <w:tabs>
                <w:tab w:val="num" w:pos="7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2453-2015 «Методики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радиационного контроля. Общие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2.6.5.008-2016 «Контроль радиационной обстановки. Общие требования».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2.6.5.028-2016 «Определение индивидуальных эффективных и эквивалентных доз и организация контроля профессионального облучения в условиях планируемого облучения. Общие требования».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2.6.5.032 -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радиоактивного загрязнения поверхностей».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РБ-151-19 «Руководство по безопасности при использовании атомной энергии. Рекомендации по составу и содержанию инструкции по ликвидации аварий в хранилищах ядерного топлива».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51966–2002 «Загрязнение радиоактивное. Технические средства дезактивации. Общие 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20286-90 «Загрязнение радиоактивное и дезактивация. Термины и определения».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«INES Руководство для пользователей международной шкалы ядерных и радиологических событий» – Вена: МАГАТЭ, 2010, 235 с.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МАГАТЭ GS-R-2 «Готовность и реагирование в случае ядерной и радиационной аварийной ситуации».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МАГАТЭ GS-G-2.1 «Организация готовности к ядерной или радиационной аварийной ситуации».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МАГАТЭ GSG-2 «Критерии для использования при подготовке и реагировании в случае ядерной или радиационной аварии»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Шойгу и др. «Учебник спасателя» – Краснодар: «Сов. Кубань», 2002, 528 с.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курса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Обеспечение радиационной безопасности на</w:t>
            </w:r>
            <w:r/>
          </w:p>
          <w:p>
            <w:pPr>
              <w:jc w:val="both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объектах ядерного топливного цикла</w:t>
            </w:r>
            <w:r/>
          </w:p>
          <w:p>
            <w:pPr>
              <w:pStyle w:val="696"/>
              <w:ind w:firstLine="5"/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Нормативно-правовое обеспечение радиационной безопасности </w:t>
            </w:r>
            <w:r>
              <w:rPr>
                <w:sz w:val="24"/>
                <w:szCs w:val="24"/>
              </w:rPr>
              <w:t xml:space="preserve">на объектах ядерно-топливного цикла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pStyle w:val="696"/>
              <w:ind w:firstLine="0"/>
              <w:jc w:val="both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cs="Times New Roman"/>
                <w:b/>
                <w:sz w:val="24"/>
                <w:szCs w:val="24"/>
              </w:rPr>
              <w:t xml:space="preserve">2</w:t>
            </w:r>
            <w:r>
              <w:rPr>
                <w:rFonts w:cs="Times New Roman"/>
                <w:b/>
                <w:sz w:val="24"/>
                <w:szCs w:val="24"/>
              </w:rPr>
              <w:t xml:space="preserve">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Обеспечение ядерной безопасности на объектах ядерно-топливного цикла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ядерной безопасности на объектах ядерно-топливного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законодательства в области учета и контроля радиоактивных отходов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в области обращения с радиоактивными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Нормативно-правовые документы в области обращения с радиоактивными отходами.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Основные требования к учету и контролю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ядерных материалов, радиоактивных веществ, радиоактивных отходов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государственного учета и контроля ЯМ. Нормативно-правовые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государственного учета и контроля РВ и РАО. Нормативно-правовые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пожарной безопасности на объектах ядерно-топливного цикла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Теоретические основы возникновения, развития и прекращения горения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Порядок применения требований пожарной безопасности для различных объектов 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защита ядерных материалов, ядерных установок, радиационных источников, радиоактивных веществ и пунктов хранения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Общие понятия физической защиты. Правовое и нормативное регулирование деятельности по обеспечению физической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радиационного контроля на объектах использования атомной энергии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Нормативно-правовое обеспечение и требования к системе радиационного контроля.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Чрезвычайные ситуации на радиационно-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опасных  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ядерно-опасных производственных объектах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радиационных и ядерных 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локализации и ликвидации 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Образовательные программы НИЯУ МИФИ, в которые входит курс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18.05.02 Химическая технология материалов современной энергетики;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14.04.02 Ядерные физика и технологии</w:t>
            </w:r>
            <w:r>
              <w:rPr>
                <w:sz w:val="24"/>
              </w:rPr>
              <w:t xml:space="preserve">;</w:t>
            </w:r>
            <w:r/>
          </w:p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15.03.04 Автоматизация технологических процессов и производств</w:t>
            </w:r>
            <w:r>
              <w:rPr>
                <w:sz w:val="24"/>
              </w:rPr>
              <w:t xml:space="preserve">.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студентов НИЯУ </w:t>
            </w:r>
            <w:r>
              <w:rPr>
                <w:sz w:val="24"/>
              </w:rPr>
              <w:t xml:space="preserve">МИФИ, проходящих обучение по курсу в течение года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z w:val="24"/>
              </w:rPr>
              <w:t xml:space="preserve">человек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/>
            <w:bookmarkStart w:id="0" w:name="_Hlk51251716"/>
            <w:r>
              <w:rPr>
                <w:sz w:val="24"/>
              </w:rPr>
              <w:t xml:space="preserve">Аналоги курса, уже размещенные на платформе «Открытое образование»</w:t>
            </w:r>
            <w:bookmarkEnd w:id="0"/>
            <w:r/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Краткая информация о курсе, включая ссылку на него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Наличие положительных рецензий по онлайн-курсу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Прилагаются отдельным файлом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rPr/>
        <w:tc>
          <w:tcPr>
            <w:tcW w:w="325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Наличие сопроводительного письма от структурного подразделения НИЯУ МИФИ с положительным заключением на онлайн-курс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Прилагается отдельным файлом</w:t>
            </w:r>
            <w:r/>
          </w:p>
        </w:tc>
        <w:tc>
          <w:tcPr>
            <w:tcW w:w="6768" w:type="dxa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04"/>
        <w:numPr>
          <w:ilvl w:val="0"/>
          <w:numId w:val="9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ОБУЧЕНИЯ ПО КУРСУ</w:t>
      </w:r>
      <w:r/>
    </w:p>
    <w:p>
      <w:pPr>
        <w:pStyle w:val="696"/>
        <w:ind w:firstLine="0"/>
        <w:rPr>
          <w:sz w:val="24"/>
        </w:rPr>
      </w:pPr>
      <w:r/>
      <w:bookmarkStart w:id="1" w:name="_Hlk51251761"/>
      <w:r>
        <w:rPr>
          <w:sz w:val="24"/>
        </w:rPr>
        <w:t xml:space="preserve">Формируемые результаты обучения</w:t>
      </w:r>
      <w:bookmarkEnd w:id="1"/>
      <w:r/>
    </w:p>
    <w:tbl>
      <w:tblPr>
        <w:tblW w:w="49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3"/>
        <w:gridCol w:w="12899"/>
      </w:tblGrid>
      <w:tr>
        <w:trPr>
          <w:trHeight w:val="584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Индекс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Формулировка</w:t>
            </w:r>
            <w:r>
              <w:rPr>
                <w:sz w:val="24"/>
              </w:rPr>
              <w:t xml:space="preserve"> (знать, уметь, владеть)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РО-1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основы организационно-правового </w:t>
            </w:r>
            <w:r>
              <w:rPr>
                <w:rFonts w:cs="Times New Roman"/>
                <w:sz w:val="24"/>
                <w:szCs w:val="24"/>
              </w:rPr>
              <w:t xml:space="preserve">и нормативно-правового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обеспечения ядерной безопасности на объектах ядерно-топливного цикла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РО-2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основы организационно-правового </w:t>
            </w:r>
            <w:r>
              <w:rPr>
                <w:rFonts w:cs="Times New Roman"/>
                <w:sz w:val="24"/>
                <w:szCs w:val="24"/>
              </w:rPr>
              <w:t xml:space="preserve">и нормативно-правового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обеспечения радиационной безопасности на объектах ядерно-топливного цикла</w:t>
            </w:r>
            <w:r/>
          </w:p>
        </w:tc>
      </w:tr>
      <w:tr>
        <w:trPr>
          <w:trHeight w:val="200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РО-3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rFonts w:cs="Times New Roman"/>
                <w:sz w:val="24"/>
                <w:szCs w:val="24"/>
              </w:rPr>
              <w:t xml:space="preserve">основы законодательства в области учета и контроля радиоактивных отходов</w:t>
            </w:r>
            <w:r/>
          </w:p>
        </w:tc>
      </w:tr>
      <w:tr>
        <w:trPr>
          <w:trHeight w:val="156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</w:t>
            </w:r>
            <w:r>
              <w:rPr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сновные требования к учету и контролю ядерных материалов, радиоактивных веществ, радиоактивных отходов</w:t>
            </w:r>
            <w:r/>
          </w:p>
        </w:tc>
      </w:tr>
      <w:tr>
        <w:trPr>
          <w:trHeight w:val="156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РО-</w:t>
            </w:r>
            <w:r>
              <w:rPr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jc w:val="bot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нать требования </w:t>
            </w:r>
            <w:r>
              <w:rPr>
                <w:sz w:val="24"/>
                <w:szCs w:val="24"/>
              </w:rPr>
              <w:t xml:space="preserve">пожарной безопасности на объектах ядерно-топливного цикла</w:t>
            </w:r>
            <w:r/>
          </w:p>
        </w:tc>
      </w:tr>
      <w:tr>
        <w:trPr>
          <w:trHeight w:val="156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</w:t>
            </w:r>
            <w:r>
              <w:rPr>
                <w:sz w:val="24"/>
              </w:rPr>
              <w:t xml:space="preserve">6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в области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равового и нормативного регулирования деятельности по обеспечению физической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ядерных материалов, ядерных установок, радиационных источников, радиоактивных веществ и пунктов хранения</w:t>
            </w:r>
            <w:r/>
          </w:p>
        </w:tc>
      </w:tr>
      <w:tr>
        <w:trPr>
          <w:trHeight w:val="156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РО-</w:t>
            </w:r>
            <w:r>
              <w:rPr>
                <w:sz w:val="24"/>
              </w:rPr>
              <w:t xml:space="preserve">7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ормативно-правового обеспечения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радиационного контроля на объектах использования атомной энергии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к системе радиационного контроля</w:t>
            </w:r>
            <w:r/>
          </w:p>
        </w:tc>
      </w:tr>
      <w:tr>
        <w:trPr>
          <w:trHeight w:val="156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РО-</w:t>
            </w:r>
            <w:r>
              <w:rPr>
                <w:sz w:val="24"/>
              </w:rPr>
              <w:t xml:space="preserve">8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радиационных и ядерных аварий, </w:t>
            </w:r>
            <w:r>
              <w:rPr>
                <w:rFonts w:ascii="Times New Roman" w:hAnsi="Times New Roman" w:cs="Times New Roman"/>
                <w:sz w:val="24"/>
              </w:rPr>
              <w:t xml:space="preserve">порядок локализации и ликвидации аварий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чрезвычайных ситуаций на радиационно-опасных и ядерно-опасных производственных объектах</w:t>
            </w:r>
            <w:r/>
          </w:p>
        </w:tc>
      </w:tr>
    </w:tbl>
    <w:p>
      <w:pPr>
        <w:pStyle w:val="696"/>
        <w:ind w:firstLine="0"/>
        <w:rPr>
          <w:sz w:val="24"/>
        </w:rPr>
      </w:pPr>
      <w:r/>
      <w:bookmarkStart w:id="2" w:name="_Hlk51251797"/>
      <w:r>
        <w:rPr>
          <w:sz w:val="24"/>
        </w:rPr>
        <w:t xml:space="preserve">Компетенции соответствующего образовательного стандарта</w:t>
      </w:r>
      <w:r/>
    </w:p>
    <w:p>
      <w:pPr>
        <w:pStyle w:val="696"/>
        <w:ind w:firstLine="0"/>
        <w:rPr>
          <w:sz w:val="24"/>
        </w:rPr>
      </w:pPr>
      <w:r>
        <w:rPr>
          <w:sz w:val="24"/>
        </w:rPr>
        <w:t xml:space="preserve">Номер и название образовательного стандарта НИЯУ МИФИ:</w:t>
      </w:r>
      <w:r/>
    </w:p>
    <w:p>
      <w:pPr>
        <w:pStyle w:val="696"/>
        <w:ind w:firstLine="0"/>
        <w:rPr>
          <w:sz w:val="24"/>
        </w:rPr>
      </w:pPr>
      <w:r>
        <w:rPr>
          <w:sz w:val="24"/>
        </w:rPr>
      </w:r>
      <w:bookmarkEnd w:id="2"/>
      <w:r/>
    </w:p>
    <w:tbl>
      <w:tblPr>
        <w:tblW w:w="491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3"/>
        <w:gridCol w:w="12899"/>
      </w:tblGrid>
      <w:tr>
        <w:trPr>
          <w:trHeight w:val="584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Индекс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Формулировка</w:t>
            </w:r>
            <w:r/>
          </w:p>
        </w:tc>
      </w:tr>
      <w:tr>
        <w:trPr>
          <w:trHeight w:val="168"/>
        </w:trPr>
        <w:tc>
          <w:tcPr>
            <w:gridSpan w:val="2"/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000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18.05.02 Химическая технология ма</w:t>
            </w:r>
            <w:r>
              <w:rPr>
                <w:sz w:val="24"/>
              </w:rPr>
              <w:t xml:space="preserve">териалов современной энергетики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ПК-3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Способен осуществлять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технологический процесс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регламентом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технические средства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измерения основных параметров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процесса, свойств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сырья и продукции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ПК-</w:t>
            </w:r>
            <w:r>
              <w:rPr>
                <w:sz w:val="24"/>
              </w:rPr>
              <w:t xml:space="preserve">4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Способен </w:t>
            </w: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технологический</w:t>
            </w:r>
            <w:r>
              <w:rPr>
                <w:sz w:val="24"/>
              </w:rPr>
              <w:t xml:space="preserve"> процесс, выявлять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недостатки и разрабатывать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по 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совершенствованию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ПК-</w:t>
            </w:r>
            <w:r>
              <w:rPr>
                <w:sz w:val="24"/>
              </w:rPr>
              <w:t xml:space="preserve">5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Способен принимать конкретное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техническое решение с учетом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охраны труда, радиационной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 охраны окружающей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/>
          </w:p>
        </w:tc>
      </w:tr>
      <w:tr>
        <w:trPr>
          <w:trHeight w:val="204"/>
        </w:trPr>
        <w:tc>
          <w:tcPr>
            <w:gridSpan w:val="2"/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000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14.04.02 Ядерные физика и технологии;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ПК-6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jc w:val="both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Способен оценивать риск и определять меры безопасности для новых установок и технологий, составлять и анализировать сценарии потенциально возможных аварий, разрабатывать методы уменьшения риска их возникновения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ПК-</w:t>
            </w:r>
            <w:r>
              <w:rPr>
                <w:sz w:val="24"/>
              </w:rPr>
              <w:t xml:space="preserve">11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к анализу технических и расчетно-теоретических разработок, к учету их соответствия требованиям законов в области промышленности, экологии, технической, радиационной и ядерной безопасности и другим нормативным актам</w:t>
            </w:r>
            <w:r/>
          </w:p>
        </w:tc>
      </w:tr>
      <w:tr>
        <w:trPr>
          <w:trHeight w:val="168"/>
        </w:trPr>
        <w:tc>
          <w:tcPr>
            <w:gridSpan w:val="2"/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000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15.03.04 Автоматизация технологических процессов и производств.</w:t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jc w:val="both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Способен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технологические и экологические требования</w:t>
            </w:r>
            <w:r/>
          </w:p>
        </w:tc>
      </w:tr>
      <w:tr>
        <w:trPr>
          <w:trHeight w:val="264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jc w:val="bo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осуществлять работы по обеспечению надежного функционирования обслуживаемого оборудования автоматизированных систем управления технологическим процессом</w:t>
            </w:r>
            <w:r/>
          </w:p>
        </w:tc>
      </w:tr>
      <w:tr>
        <w:trPr>
          <w:trHeight w:val="312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583" w:type="pct"/>
            <w:textDirection w:val="lrTb"/>
            <w:noWrap w:val="false"/>
          </w:tcPr>
          <w:p>
            <w:pPr>
              <w:pStyle w:val="696"/>
              <w:ind w:firstLine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ПК-7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4417" w:type="pct"/>
            <w:textDirection w:val="lrTb"/>
            <w:noWrap w:val="false"/>
          </w:tcPr>
          <w:p>
            <w:pPr>
              <w:pStyle w:val="696"/>
              <w:ind w:hanging="2"/>
              <w:jc w:val="both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Способен осуществлять эксплуатацию технических средств автоматизированных систем управления технологическим процессом</w:t>
            </w:r>
            <w:r/>
          </w:p>
        </w:tc>
      </w:tr>
    </w:tbl>
    <w:p>
      <w:pPr>
        <w:pStyle w:val="696"/>
        <w:ind w:firstLine="0"/>
        <w:spacing w:line="240" w:lineRule="auto"/>
      </w:pPr>
      <w:r/>
      <w:r/>
    </w:p>
    <w:p>
      <w:pPr>
        <w:pStyle w:val="696"/>
        <w:numPr>
          <w:ilvl w:val="0"/>
          <w:numId w:val="9"/>
        </w:numPr>
        <w:jc w:val="center"/>
      </w:pPr>
      <w:r>
        <w:t xml:space="preserve">СОПРОВОЖДЕНИЕ ОНЛАЙН-КУРСА</w:t>
      </w:r>
      <w:r/>
    </w:p>
    <w:p>
      <w:pPr>
        <w:pStyle w:val="696"/>
        <w:ind w:firstLine="0"/>
        <w:jc w:val="both"/>
      </w:pPr>
      <w:r>
        <w:t xml:space="preserve">Подпись авторов онлайн-курса и ответственного за развитие онлайн-образования от структурного подразделения НИЯУ МИФИ, подтверждающие то, что они обязуются лично или через назначенных </w:t>
      </w:r>
      <w:r>
        <w:t xml:space="preserve">ответственных сотрудников</w:t>
      </w:r>
      <w:r>
        <w:t xml:space="preserve"> обеспечивать сопровождение онлайн-курса после его разработки и размещения на онлайн-платформе.</w:t>
      </w:r>
      <w:r/>
    </w:p>
    <w:p>
      <w:pPr>
        <w:pStyle w:val="696"/>
        <w:ind w:firstLine="0"/>
        <w:jc w:val="both"/>
      </w:pPr>
      <w:r>
        <w:t xml:space="preserve">Авторы курса:</w:t>
      </w:r>
      <w:r/>
    </w:p>
    <w:p>
      <w:pPr>
        <w:pStyle w:val="696"/>
        <w:ind w:firstLine="0"/>
        <w:jc w:val="both"/>
      </w:pPr>
      <w:r>
        <w:t xml:space="preserve">Левицкий В.М.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Грязнов Р.В.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Андреевских А.В.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Часов А.С.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Лялин А.В.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Федин А.С.</w:t>
      </w:r>
      <w:r>
        <w:t xml:space="preserve"> /__________________/</w:t>
      </w:r>
      <w:r/>
    </w:p>
    <w:p>
      <w:pPr>
        <w:pStyle w:val="696"/>
        <w:ind w:firstLine="0"/>
        <w:jc w:val="both"/>
      </w:pPr>
      <w:r/>
      <w:r/>
    </w:p>
    <w:p>
      <w:pPr>
        <w:pStyle w:val="696"/>
        <w:ind w:firstLine="0"/>
        <w:jc w:val="both"/>
      </w:pPr>
      <w:r>
        <w:t xml:space="preserve">Ответственный за развитие онлайн-образования от </w:t>
      </w:r>
      <w:r>
        <w:rPr>
          <w:u w:val="single"/>
        </w:rPr>
        <w:t xml:space="preserve">СТИ НИЯУ МИФИ</w:t>
      </w:r>
      <w:r>
        <w:t xml:space="preserve">:</w:t>
      </w:r>
      <w:r/>
    </w:p>
    <w:p>
      <w:pPr>
        <w:pStyle w:val="696"/>
        <w:ind w:firstLine="0"/>
        <w:jc w:val="both"/>
      </w:pPr>
      <w:r>
        <w:t xml:space="preserve">Воробьёва Е.С.</w:t>
      </w:r>
      <w:r>
        <w:t xml:space="preserve"> /__________________/</w:t>
      </w:r>
      <w:r/>
    </w:p>
    <w:p>
      <w:pPr>
        <w:pStyle w:val="696"/>
        <w:ind w:firstLine="0"/>
        <w:jc w:val="both"/>
      </w:pPr>
      <w:r>
        <w:t xml:space="preserve">Предполагаемые виды сопровождения онлайн-курса (указать да/нет):</w:t>
      </w:r>
      <w:r/>
    </w:p>
    <w:tbl>
      <w:tblPr>
        <w:tblStyle w:val="698"/>
        <w:tblW w:w="14425" w:type="dxa"/>
        <w:tblLook w:val="04A0" w:firstRow="1" w:lastRow="0" w:firstColumn="1" w:lastColumn="0" w:noHBand="0" w:noVBand="1"/>
      </w:tblPr>
      <w:tblGrid>
        <w:gridCol w:w="552"/>
        <w:gridCol w:w="2279"/>
        <w:gridCol w:w="7353"/>
        <w:gridCol w:w="4241"/>
      </w:tblGrid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обязанностей по сопровождению</w:t>
            </w:r>
            <w:r/>
          </w:p>
        </w:tc>
        <w:tc>
          <w:tcPr>
            <w:tcW w:w="7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обязанностей по сопровождению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данного типа сопровождения в онлайн-курса</w:t>
            </w:r>
            <w:r/>
          </w:p>
        </w:tc>
      </w:tr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(сопровождение лекций)</w:t>
            </w:r>
            <w:r/>
          </w:p>
        </w:tc>
        <w:tc>
          <w:tcPr>
            <w:tcW w:w="7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слушателей курса в разделе «Обсуждение». Регулярная рассылка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помощью сотрудников центра онлайн-образования НИЯУ МИФИ)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писем по слушателям с актуальной информацией о курсе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-системе НПОО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/>
          </w:p>
        </w:tc>
      </w:tr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(сопровождение практических заданий и лабораторных работ)</w:t>
            </w:r>
            <w:r/>
          </w:p>
        </w:tc>
        <w:tc>
          <w:tcPr>
            <w:tcW w:w="7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результатов текущего и итогового контроля по курсу в ручном режиме (при наличии таковых), контроль выполнения лабораторных работ, комментирование результатов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слушателями проверочных работ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/>
          </w:p>
        </w:tc>
      </w:tr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Прокторинг</w:t>
            </w:r>
            <w:r/>
          </w:p>
        </w:tc>
        <w:tc>
          <w:tcPr>
            <w:tcW w:w="7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прохождения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сотрудников НИЯУ МИФИ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твии с утвержденным регламентом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/>
          </w:p>
        </w:tc>
      </w:tr>
      <w:tr>
        <w:trPr/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2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</w:t>
            </w:r>
            <w:r/>
          </w:p>
        </w:tc>
        <w:tc>
          <w:tcPr>
            <w:tcW w:w="7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проверочных и иных материалов по курсу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НПОО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ремя сессии (при необходимости)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/>
          </w:p>
        </w:tc>
      </w:tr>
    </w:tbl>
    <w:p>
      <w:pPr>
        <w:pStyle w:val="696"/>
        <w:ind w:firstLine="0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70036825"/>
      <w:docPartObj>
        <w:docPartGallery w:val="Page Numbers (Bottom of Page)"/>
        <w:docPartUnique w:val="true"/>
      </w:docPartObj>
      <w:rPr/>
    </w:sdtPr>
    <w:sdtContent>
      <w:p>
        <w:pPr>
          <w:pStyle w:val="70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1"/>
    <w:link w:val="700"/>
    <w:uiPriority w:val="99"/>
  </w:style>
  <w:style w:type="character" w:styleId="44">
    <w:name w:val="Footer Char"/>
    <w:basedOn w:val="691"/>
    <w:link w:val="702"/>
    <w:uiPriority w:val="99"/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2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МИФИ Заголовок"/>
    <w:basedOn w:val="690"/>
    <w:link w:val="695"/>
    <w:qFormat/>
    <w:pPr>
      <w:contextualSpacing/>
      <w:spacing w:after="0" w:line="240" w:lineRule="auto"/>
    </w:pPr>
    <w:rPr>
      <w:rFonts w:ascii="Times New Roman" w:hAnsi="Times New Roman"/>
      <w:b/>
      <w:sz w:val="28"/>
    </w:rPr>
  </w:style>
  <w:style w:type="character" w:styleId="695" w:customStyle="1">
    <w:name w:val="МИФИ Заголовок Знак"/>
    <w:basedOn w:val="691"/>
    <w:link w:val="694"/>
    <w:rPr>
      <w:rFonts w:ascii="Times New Roman" w:hAnsi="Times New Roman"/>
      <w:b/>
      <w:sz w:val="28"/>
    </w:rPr>
  </w:style>
  <w:style w:type="paragraph" w:styleId="696" w:customStyle="1">
    <w:name w:val="МИФИ"/>
    <w:link w:val="697"/>
    <w:qFormat/>
    <w:pPr>
      <w:contextualSpacing/>
      <w:ind w:firstLine="709"/>
      <w:spacing w:after="0" w:line="360" w:lineRule="auto"/>
    </w:pPr>
    <w:rPr>
      <w:rFonts w:ascii="Times New Roman" w:hAnsi="Times New Roman"/>
      <w:sz w:val="28"/>
    </w:rPr>
  </w:style>
  <w:style w:type="character" w:styleId="697" w:customStyle="1">
    <w:name w:val="МИФИ Знак"/>
    <w:basedOn w:val="691"/>
    <w:link w:val="696"/>
    <w:rPr>
      <w:rFonts w:ascii="Times New Roman" w:hAnsi="Times New Roman"/>
      <w:sz w:val="28"/>
    </w:rPr>
  </w:style>
  <w:style w:type="table" w:styleId="698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Normal (Web)"/>
    <w:basedOn w:val="69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Header"/>
    <w:basedOn w:val="690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91"/>
    <w:link w:val="700"/>
    <w:uiPriority w:val="99"/>
  </w:style>
  <w:style w:type="paragraph" w:styleId="702">
    <w:name w:val="Footer"/>
    <w:basedOn w:val="690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91"/>
    <w:link w:val="702"/>
    <w:uiPriority w:val="99"/>
  </w:style>
  <w:style w:type="paragraph" w:styleId="704">
    <w:name w:val="List Paragraph"/>
    <w:basedOn w:val="690"/>
    <w:uiPriority w:val="34"/>
    <w:qFormat/>
    <w:pPr>
      <w:contextualSpacing/>
      <w:ind w:left="720"/>
    </w:pPr>
  </w:style>
  <w:style w:type="paragraph" w:styleId="705">
    <w:name w:val="HTML Preformatted"/>
    <w:basedOn w:val="690"/>
    <w:link w:val="706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06" w:customStyle="1">
    <w:name w:val="Стандартный HTML Знак"/>
    <w:basedOn w:val="691"/>
    <w:link w:val="70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7">
    <w:name w:val="Balloon Text"/>
    <w:basedOn w:val="690"/>
    <w:link w:val="7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8" w:customStyle="1">
    <w:name w:val="Текст выноски Знак"/>
    <w:basedOn w:val="691"/>
    <w:link w:val="70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Maxim Goncharov</cp:lastModifiedBy>
  <cp:revision>28</cp:revision>
  <dcterms:created xsi:type="dcterms:W3CDTF">2022-10-12T05:57:00Z</dcterms:created>
  <dcterms:modified xsi:type="dcterms:W3CDTF">2023-02-05T12:33:02Z</dcterms:modified>
</cp:coreProperties>
</file>